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21DABC70" w:rsidR="00C9349B" w:rsidRPr="007D092F" w:rsidRDefault="006445E4">
      <w:pPr>
        <w:rPr>
          <w:rFonts w:ascii="Arial" w:hAnsi="Arial" w:cs="Arial"/>
          <w:sz w:val="2"/>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68D2AF04">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4D3176" w:rsidRPr="002E6FEA" w:rsidRDefault="004D317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75910E15" w:rsidR="004D3176" w:rsidRPr="002E6FEA" w:rsidRDefault="004D317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0C2FB990" w:rsidR="004D3176" w:rsidRPr="006445E4" w:rsidRDefault="004D317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91-94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0C2FB990" w:rsidR="004D3176" w:rsidRPr="006445E4" w:rsidRDefault="004D317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91-94</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4D3176" w:rsidRPr="00407DF0" w:rsidRDefault="004D3176" w:rsidP="00407DF0">
                            <w:pPr>
                              <w:jc w:val="center"/>
                              <w:rPr>
                                <w:rFonts w:ascii="Century Gothic" w:hAnsi="Century Gothic"/>
                                <w:color w:val="538135" w:themeColor="accent6" w:themeShade="BF"/>
                                <w:sz w:val="2"/>
                                <w:szCs w:val="40"/>
                              </w:rPr>
                            </w:pPr>
                          </w:p>
                          <w:p w14:paraId="506D4789" w14:textId="413E8E62" w:rsidR="004D3176" w:rsidRPr="00426BDD" w:rsidRDefault="004D3176" w:rsidP="00EF0BB1">
                            <w:pPr>
                              <w:ind w:left="1701"/>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Catholic School Culture -</w:t>
                            </w:r>
                            <w:r>
                              <w:rPr>
                                <w:rFonts w:ascii="Century Gothic" w:hAnsi="Century Gothic"/>
                                <w:color w:val="538135" w:themeColor="accent6" w:themeShade="BF"/>
                                <w:sz w:val="40"/>
                                <w:szCs w:val="40"/>
                              </w:rPr>
                              <w:br/>
                            </w:r>
                            <w:r w:rsidR="001840A3">
                              <w:rPr>
                                <w:rFonts w:ascii="Century Gothic" w:hAnsi="Century Gothic"/>
                                <w:color w:val="538135" w:themeColor="accent6" w:themeShade="BF"/>
                                <w:sz w:val="36"/>
                                <w:szCs w:val="40"/>
                              </w:rPr>
                              <w:t>Some d</w:t>
                            </w:r>
                            <w:r w:rsidRPr="004D3176">
                              <w:rPr>
                                <w:rFonts w:ascii="Century Gothic" w:hAnsi="Century Gothic"/>
                                <w:color w:val="538135" w:themeColor="accent6" w:themeShade="BF"/>
                                <w:sz w:val="36"/>
                                <w:szCs w:val="40"/>
                              </w:rPr>
                              <w:t>ifferent scenarios</w:t>
                            </w:r>
                          </w:p>
                          <w:p w14:paraId="0B5E28A4" w14:textId="77777777" w:rsidR="004D3176" w:rsidRDefault="004D317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4D3176" w:rsidRPr="00407DF0" w:rsidRDefault="004D3176" w:rsidP="00407DF0">
                      <w:pPr>
                        <w:jc w:val="center"/>
                        <w:rPr>
                          <w:rFonts w:ascii="Century Gothic" w:hAnsi="Century Gothic"/>
                          <w:color w:val="538135" w:themeColor="accent6" w:themeShade="BF"/>
                          <w:sz w:val="2"/>
                          <w:szCs w:val="40"/>
                        </w:rPr>
                      </w:pPr>
                    </w:p>
                    <w:p w14:paraId="506D4789" w14:textId="413E8E62" w:rsidR="004D3176" w:rsidRPr="00426BDD" w:rsidRDefault="004D3176" w:rsidP="00EF0BB1">
                      <w:pPr>
                        <w:ind w:left="1701"/>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Catholic School Culture -</w:t>
                      </w:r>
                      <w:r>
                        <w:rPr>
                          <w:rFonts w:ascii="Century Gothic" w:hAnsi="Century Gothic"/>
                          <w:color w:val="538135" w:themeColor="accent6" w:themeShade="BF"/>
                          <w:sz w:val="40"/>
                          <w:szCs w:val="40"/>
                        </w:rPr>
                        <w:br/>
                      </w:r>
                      <w:r w:rsidR="001840A3">
                        <w:rPr>
                          <w:rFonts w:ascii="Century Gothic" w:hAnsi="Century Gothic"/>
                          <w:color w:val="538135" w:themeColor="accent6" w:themeShade="BF"/>
                          <w:sz w:val="36"/>
                          <w:szCs w:val="40"/>
                        </w:rPr>
                        <w:t>Some d</w:t>
                      </w:r>
                      <w:r w:rsidRPr="004D3176">
                        <w:rPr>
                          <w:rFonts w:ascii="Century Gothic" w:hAnsi="Century Gothic"/>
                          <w:color w:val="538135" w:themeColor="accent6" w:themeShade="BF"/>
                          <w:sz w:val="36"/>
                          <w:szCs w:val="40"/>
                        </w:rPr>
                        <w:t>ifferent scenarios</w:t>
                      </w:r>
                    </w:p>
                    <w:p w14:paraId="0B5E28A4" w14:textId="77777777" w:rsidR="004D3176" w:rsidRDefault="004D3176"/>
                  </w:txbxContent>
                </v:textbox>
                <w10:wrap type="square"/>
              </v:shape>
            </w:pict>
          </mc:Fallback>
        </mc:AlternateContent>
      </w:r>
      <w:r w:rsidR="00157DAC">
        <w:rPr>
          <w:rFonts w:ascii="Arial" w:hAnsi="Arial" w:cs="Arial"/>
        </w:rPr>
        <w:t xml:space="preserve"> </w:t>
      </w:r>
    </w:p>
    <w:p w14:paraId="5DD2B346" w14:textId="69462A7B" w:rsidR="00221C91" w:rsidRPr="007D092F" w:rsidRDefault="004D3176" w:rsidP="007D092F">
      <w:pPr>
        <w:pStyle w:val="ListParagraph"/>
        <w:numPr>
          <w:ilvl w:val="0"/>
          <w:numId w:val="21"/>
        </w:numPr>
        <w:ind w:left="567" w:hanging="283"/>
        <w:rPr>
          <w:rFonts w:ascii="Century Gothic" w:hAnsi="Century Gothic" w:cs="Arial"/>
          <w:sz w:val="12"/>
          <w:szCs w:val="20"/>
        </w:rPr>
      </w:pPr>
      <w:r>
        <w:rPr>
          <w:rFonts w:ascii="Century Gothic" w:hAnsi="Century Gothic" w:cs="Arial"/>
          <w:szCs w:val="20"/>
        </w:rPr>
        <w:t xml:space="preserve">Pages 91 &amp; 92 </w:t>
      </w:r>
      <w:r w:rsidR="00221C91" w:rsidRPr="004D3176">
        <w:rPr>
          <w:rFonts w:ascii="Century Gothic" w:hAnsi="Century Gothic" w:cs="Arial"/>
          <w:szCs w:val="20"/>
        </w:rPr>
        <w:t>give ‘good cu</w:t>
      </w:r>
      <w:r w:rsidR="007D092F">
        <w:rPr>
          <w:rFonts w:ascii="Century Gothic" w:hAnsi="Century Gothic" w:cs="Arial"/>
          <w:szCs w:val="20"/>
        </w:rPr>
        <w:t xml:space="preserve">lture’/’bad culture’ scenarios </w:t>
      </w:r>
      <w:r w:rsidR="00221C91" w:rsidRPr="004D3176">
        <w:rPr>
          <w:rFonts w:ascii="Century Gothic" w:hAnsi="Century Gothic" w:cs="Arial"/>
          <w:szCs w:val="20"/>
        </w:rPr>
        <w:t xml:space="preserve">supposedly applying in two primary schools. These outlines, or modifications </w:t>
      </w:r>
      <w:r>
        <w:rPr>
          <w:rFonts w:ascii="Century Gothic" w:hAnsi="Century Gothic" w:cs="Arial"/>
          <w:szCs w:val="20"/>
        </w:rPr>
        <w:t>of these, could well provide a staff d</w:t>
      </w:r>
      <w:r w:rsidR="00221C91" w:rsidRPr="004D3176">
        <w:rPr>
          <w:rFonts w:ascii="Century Gothic" w:hAnsi="Century Gothic" w:cs="Arial"/>
          <w:szCs w:val="20"/>
        </w:rPr>
        <w:t>evelopment day strategy to focus on attitudes and practices which impact significantly on the general culture and on the Catholic culture of the school.</w:t>
      </w:r>
      <w:r>
        <w:rPr>
          <w:rFonts w:ascii="Century Gothic" w:hAnsi="Century Gothic" w:cs="Arial"/>
          <w:szCs w:val="20"/>
        </w:rPr>
        <w:br/>
      </w:r>
    </w:p>
    <w:p w14:paraId="773469E1" w14:textId="43A51A45" w:rsidR="00221C91" w:rsidRPr="007D092F" w:rsidRDefault="00221C91" w:rsidP="007D092F">
      <w:pPr>
        <w:pStyle w:val="ListParagraph"/>
        <w:numPr>
          <w:ilvl w:val="0"/>
          <w:numId w:val="21"/>
        </w:numPr>
        <w:ind w:left="567" w:hanging="283"/>
        <w:rPr>
          <w:rFonts w:ascii="Century Gothic" w:hAnsi="Century Gothic" w:cs="Arial"/>
          <w:sz w:val="12"/>
          <w:szCs w:val="20"/>
        </w:rPr>
      </w:pPr>
      <w:r w:rsidRPr="004D3176">
        <w:rPr>
          <w:rFonts w:ascii="Century Gothic" w:hAnsi="Century Gothic" w:cs="Arial"/>
          <w:szCs w:val="20"/>
        </w:rPr>
        <w:t>The query often arises: ‘Why do parents choose a Catholic scho</w:t>
      </w:r>
      <w:r w:rsidR="004D3176">
        <w:rPr>
          <w:rFonts w:ascii="Century Gothic" w:hAnsi="Century Gothic" w:cs="Arial"/>
          <w:szCs w:val="20"/>
        </w:rPr>
        <w:t>ol education for their children</w:t>
      </w:r>
      <w:r w:rsidRPr="004D3176">
        <w:rPr>
          <w:rFonts w:ascii="Century Gothic" w:hAnsi="Century Gothic" w:cs="Arial"/>
          <w:szCs w:val="20"/>
        </w:rPr>
        <w:t>?’ There is no single answer to this question. However, it is probable that the perceived culture of a Catholic school figures prominently among the reasons why many parents choose to send their children to Catholic schools.  Many parents and sta</w:t>
      </w:r>
      <w:r w:rsidR="004D3176">
        <w:rPr>
          <w:rFonts w:ascii="Century Gothic" w:hAnsi="Century Gothic" w:cs="Arial"/>
          <w:szCs w:val="20"/>
        </w:rPr>
        <w:t xml:space="preserve">ff would name the following as </w:t>
      </w:r>
      <w:r w:rsidRPr="004D3176">
        <w:rPr>
          <w:rFonts w:ascii="Century Gothic" w:hAnsi="Century Gothic" w:cs="Arial"/>
          <w:szCs w:val="20"/>
        </w:rPr>
        <w:t>positive elements of t</w:t>
      </w:r>
      <w:r w:rsidR="004D3176">
        <w:rPr>
          <w:rFonts w:ascii="Century Gothic" w:hAnsi="Century Gothic" w:cs="Arial"/>
          <w:szCs w:val="20"/>
        </w:rPr>
        <w:t xml:space="preserve">hat culture:  good discipline, </w:t>
      </w:r>
      <w:r w:rsidR="007D092F">
        <w:rPr>
          <w:rFonts w:ascii="Century Gothic" w:hAnsi="Century Gothic" w:cs="Arial"/>
          <w:szCs w:val="20"/>
        </w:rPr>
        <w:t xml:space="preserve">pleasing school image including </w:t>
      </w:r>
      <w:r w:rsidRPr="004D3176">
        <w:rPr>
          <w:rFonts w:ascii="Century Gothic" w:hAnsi="Century Gothic" w:cs="Arial"/>
          <w:szCs w:val="20"/>
        </w:rPr>
        <w:t>student uniforms, good academic and sporting achievement, good pastoral care practice. Sure enough these are all desirable qualities but a majority of good State schools would rightly lay claim to similar qualities</w:t>
      </w:r>
      <w:r w:rsidR="004D3176">
        <w:rPr>
          <w:rFonts w:ascii="Century Gothic" w:hAnsi="Century Gothic" w:cs="Arial"/>
          <w:szCs w:val="20"/>
        </w:rPr>
        <w:t>.</w:t>
      </w:r>
      <w:r w:rsidR="004D3176">
        <w:rPr>
          <w:rFonts w:ascii="Century Gothic" w:hAnsi="Century Gothic" w:cs="Arial"/>
          <w:szCs w:val="20"/>
        </w:rPr>
        <w:br/>
      </w:r>
    </w:p>
    <w:p w14:paraId="30CEDAB2" w14:textId="1C584702" w:rsidR="00221C91" w:rsidRPr="007D092F" w:rsidRDefault="00221C91" w:rsidP="007D092F">
      <w:pPr>
        <w:pStyle w:val="ListParagraph"/>
        <w:numPr>
          <w:ilvl w:val="0"/>
          <w:numId w:val="21"/>
        </w:numPr>
        <w:ind w:left="567" w:hanging="283"/>
        <w:rPr>
          <w:rFonts w:ascii="Century Gothic" w:hAnsi="Century Gothic" w:cs="Arial"/>
          <w:sz w:val="12"/>
          <w:szCs w:val="20"/>
        </w:rPr>
      </w:pPr>
      <w:r w:rsidRPr="004D3176">
        <w:rPr>
          <w:rFonts w:ascii="Century Gothic" w:hAnsi="Century Gothic" w:cs="Arial"/>
          <w:szCs w:val="20"/>
        </w:rPr>
        <w:t>The third scenario  -</w:t>
      </w:r>
      <w:r w:rsidR="004D3176">
        <w:rPr>
          <w:rFonts w:ascii="Century Gothic" w:hAnsi="Century Gothic" w:cs="Arial"/>
          <w:szCs w:val="20"/>
        </w:rPr>
        <w:t xml:space="preserve"> Valley Park Primary </w:t>
      </w:r>
      <w:proofErr w:type="gramStart"/>
      <w:r w:rsidR="004D3176">
        <w:rPr>
          <w:rFonts w:ascii="Century Gothic" w:hAnsi="Century Gothic" w:cs="Arial"/>
          <w:szCs w:val="20"/>
        </w:rPr>
        <w:t>school,</w:t>
      </w:r>
      <w:proofErr w:type="gramEnd"/>
      <w:r w:rsidR="004D3176">
        <w:rPr>
          <w:rFonts w:ascii="Century Gothic" w:hAnsi="Century Gothic" w:cs="Arial"/>
          <w:szCs w:val="20"/>
        </w:rPr>
        <w:t xml:space="preserve"> </w:t>
      </w:r>
      <w:r w:rsidRPr="004D3176">
        <w:rPr>
          <w:rFonts w:ascii="Century Gothic" w:hAnsi="Century Gothic" w:cs="Arial"/>
          <w:szCs w:val="20"/>
        </w:rPr>
        <w:t>invites Catholic school leaders and teach</w:t>
      </w:r>
      <w:r w:rsidR="007D092F">
        <w:rPr>
          <w:rFonts w:ascii="Century Gothic" w:hAnsi="Century Gothic" w:cs="Arial"/>
          <w:szCs w:val="20"/>
        </w:rPr>
        <w:t xml:space="preserve">ers to become more intentional </w:t>
      </w:r>
      <w:r w:rsidRPr="004D3176">
        <w:rPr>
          <w:rFonts w:ascii="Century Gothic" w:hAnsi="Century Gothic" w:cs="Arial"/>
          <w:szCs w:val="20"/>
        </w:rPr>
        <w:t>in naming the factors that make life in a Catholic school different. In so naming, there is the further invitation to explore and to review the deeper</w:t>
      </w:r>
      <w:r w:rsidR="004D3176">
        <w:rPr>
          <w:rFonts w:ascii="Century Gothic" w:hAnsi="Century Gothic" w:cs="Arial"/>
          <w:szCs w:val="20"/>
        </w:rPr>
        <w:t xml:space="preserve"> sources of meaning that underlie</w:t>
      </w:r>
      <w:r w:rsidRPr="004D3176">
        <w:rPr>
          <w:rFonts w:ascii="Century Gothic" w:hAnsi="Century Gothic" w:cs="Arial"/>
          <w:szCs w:val="20"/>
        </w:rPr>
        <w:t xml:space="preserve"> the religious and spiritual dimension of the school.</w:t>
      </w:r>
      <w:r w:rsidR="004D3176">
        <w:rPr>
          <w:rFonts w:ascii="Century Gothic" w:hAnsi="Century Gothic" w:cs="Arial"/>
          <w:szCs w:val="20"/>
        </w:rPr>
        <w:br/>
      </w:r>
    </w:p>
    <w:p w14:paraId="0AA89F2E" w14:textId="4A11011B" w:rsidR="00221C91" w:rsidRPr="004D3176" w:rsidRDefault="004D3176" w:rsidP="007D092F">
      <w:pPr>
        <w:pStyle w:val="ListParagraph"/>
        <w:numPr>
          <w:ilvl w:val="0"/>
          <w:numId w:val="21"/>
        </w:numPr>
        <w:ind w:left="567" w:hanging="283"/>
        <w:rPr>
          <w:rFonts w:ascii="Century Gothic" w:hAnsi="Century Gothic" w:cs="Arial"/>
          <w:szCs w:val="20"/>
        </w:rPr>
      </w:pPr>
      <w:r>
        <w:rPr>
          <w:rFonts w:ascii="Century Gothic" w:hAnsi="Century Gothic" w:cs="Arial"/>
          <w:szCs w:val="20"/>
        </w:rPr>
        <w:t xml:space="preserve">Pages 93 &amp; 94 </w:t>
      </w:r>
      <w:r w:rsidR="00221C91" w:rsidRPr="004D3176">
        <w:rPr>
          <w:rFonts w:ascii="Century Gothic" w:hAnsi="Century Gothic" w:cs="Arial"/>
          <w:szCs w:val="20"/>
        </w:rPr>
        <w:t xml:space="preserve"> -</w:t>
      </w:r>
      <w:r>
        <w:rPr>
          <w:rFonts w:ascii="Century Gothic" w:hAnsi="Century Gothic" w:cs="Arial"/>
          <w:szCs w:val="20"/>
        </w:rPr>
        <w:t xml:space="preserve"> ‘</w:t>
      </w:r>
      <w:r w:rsidR="00221C91" w:rsidRPr="004D3176">
        <w:rPr>
          <w:rFonts w:ascii="Century Gothic" w:hAnsi="Century Gothic" w:cs="Arial"/>
          <w:szCs w:val="20"/>
        </w:rPr>
        <w:t>Snapshot: Expressions and Builders of Catholic Culture In The School</w:t>
      </w:r>
      <w:r>
        <w:rPr>
          <w:rFonts w:ascii="Century Gothic" w:hAnsi="Century Gothic" w:cs="Arial"/>
          <w:szCs w:val="20"/>
        </w:rPr>
        <w:t>’</w:t>
      </w:r>
      <w:r w:rsidR="00221C91" w:rsidRPr="004D3176">
        <w:rPr>
          <w:rFonts w:ascii="Century Gothic" w:hAnsi="Century Gothic" w:cs="Arial"/>
          <w:szCs w:val="20"/>
        </w:rPr>
        <w:t>, offers an exercise to engage staff in identifying commonly accepted elements of Catholic school culture as they apply in the school now.  Such an exercise has potential to affirm present good policy and practice while identifying areas in possible need of development or renewal. The exer</w:t>
      </w:r>
      <w:r>
        <w:rPr>
          <w:rFonts w:ascii="Century Gothic" w:hAnsi="Century Gothic" w:cs="Arial"/>
          <w:szCs w:val="20"/>
        </w:rPr>
        <w:t xml:space="preserve">cise process can be helpful in </w:t>
      </w:r>
      <w:r w:rsidR="007D092F">
        <w:rPr>
          <w:rFonts w:ascii="Century Gothic" w:hAnsi="Century Gothic" w:cs="Arial"/>
          <w:szCs w:val="20"/>
        </w:rPr>
        <w:t xml:space="preserve">strengthening </w:t>
      </w:r>
      <w:r w:rsidR="00221C91" w:rsidRPr="004D3176">
        <w:rPr>
          <w:rFonts w:ascii="Century Gothic" w:hAnsi="Century Gothic" w:cs="Arial"/>
          <w:szCs w:val="20"/>
        </w:rPr>
        <w:t>a union of hearts and minds around things that matter most.</w:t>
      </w:r>
    </w:p>
    <w:p w14:paraId="2B299AC7" w14:textId="5191CE8F" w:rsidR="00EF0BB1" w:rsidRPr="004D3176" w:rsidRDefault="00EF0BB1" w:rsidP="00EF0BB1">
      <w:pPr>
        <w:rPr>
          <w:rFonts w:ascii="Century Gothic" w:hAnsi="Century Gothic" w:cs="Arial"/>
          <w:szCs w:val="20"/>
        </w:rPr>
      </w:pPr>
      <w:r w:rsidRPr="004D3176">
        <w:rPr>
          <w:rFonts w:ascii="Century Gothic" w:hAnsi="Century Gothic" w:cs="Arial"/>
          <w:szCs w:val="20"/>
        </w:rPr>
        <mc:AlternateContent>
          <mc:Choice Requires="wps">
            <w:drawing>
              <wp:anchor distT="0" distB="0" distL="114300" distR="114300" simplePos="0" relativeHeight="251673600" behindDoc="0" locked="0" layoutInCell="1" allowOverlap="1" wp14:anchorId="479FCE3D" wp14:editId="1B47AA47">
                <wp:simplePos x="0" y="0"/>
                <wp:positionH relativeFrom="column">
                  <wp:posOffset>-114300</wp:posOffset>
                </wp:positionH>
                <wp:positionV relativeFrom="paragraph">
                  <wp:posOffset>102870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4D3176" w:rsidRPr="002E6FEA" w:rsidRDefault="004D317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95pt;margin-top:8.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" fillcolor="#538135 [2409]" stroked="f">
                <v:textbox>
                  <w:txbxContent>
                    <w:p w14:paraId="3EC4B849" w14:textId="4631B534" w:rsidR="004D3176" w:rsidRPr="002E6FEA" w:rsidRDefault="004D317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502C3DE4" w14:textId="77777777" w:rsidR="00EF0BB1" w:rsidRPr="004D3176" w:rsidRDefault="00EF0BB1" w:rsidP="00EF0BB1">
      <w:pPr>
        <w:rPr>
          <w:rFonts w:ascii="Century Gothic" w:hAnsi="Century Gothic" w:cs="Arial"/>
          <w:szCs w:val="20"/>
        </w:rPr>
      </w:pPr>
    </w:p>
    <w:p w14:paraId="22C7E376" w14:textId="154BA8E1" w:rsidR="00221C91" w:rsidRPr="007D092F" w:rsidRDefault="00221C91" w:rsidP="007D092F">
      <w:pPr>
        <w:pStyle w:val="ListParagraph"/>
        <w:numPr>
          <w:ilvl w:val="0"/>
          <w:numId w:val="22"/>
        </w:numPr>
        <w:rPr>
          <w:rFonts w:ascii="Century Gothic" w:hAnsi="Century Gothic" w:cs="Arial"/>
          <w:szCs w:val="20"/>
        </w:rPr>
      </w:pPr>
      <w:r w:rsidRPr="007D092F">
        <w:rPr>
          <w:rFonts w:ascii="Century Gothic" w:hAnsi="Century Gothic" w:cs="Arial"/>
          <w:szCs w:val="20"/>
        </w:rPr>
        <w:t xml:space="preserve">What are the main points of difference as portrayed </w:t>
      </w:r>
      <w:r w:rsidR="007D092F">
        <w:rPr>
          <w:rFonts w:ascii="Century Gothic" w:hAnsi="Century Gothic" w:cs="Arial"/>
          <w:szCs w:val="20"/>
        </w:rPr>
        <w:t>for St David’s and St Barbara’s</w:t>
      </w:r>
      <w:r w:rsidRPr="007D092F">
        <w:rPr>
          <w:rFonts w:ascii="Century Gothic" w:hAnsi="Century Gothic" w:cs="Arial"/>
          <w:szCs w:val="20"/>
        </w:rPr>
        <w:t xml:space="preserve">? What are possible </w:t>
      </w:r>
      <w:r w:rsidR="007D092F">
        <w:rPr>
          <w:rFonts w:ascii="Century Gothic" w:hAnsi="Century Gothic" w:cs="Arial"/>
          <w:szCs w:val="20"/>
        </w:rPr>
        <w:t>causes</w:t>
      </w:r>
      <w:r w:rsidRPr="007D092F">
        <w:rPr>
          <w:rFonts w:ascii="Century Gothic" w:hAnsi="Century Gothic" w:cs="Arial"/>
          <w:szCs w:val="20"/>
        </w:rPr>
        <w:t xml:space="preserve"> and how might the St David’s culture b</w:t>
      </w:r>
      <w:r w:rsidR="007D092F">
        <w:rPr>
          <w:rFonts w:ascii="Century Gothic" w:hAnsi="Century Gothic" w:cs="Arial"/>
          <w:szCs w:val="20"/>
        </w:rPr>
        <w:t>e ‘turned around’</w:t>
      </w:r>
      <w:r w:rsidRPr="007D092F">
        <w:rPr>
          <w:rFonts w:ascii="Century Gothic" w:hAnsi="Century Gothic" w:cs="Arial"/>
          <w:szCs w:val="20"/>
        </w:rPr>
        <w:t>?</w:t>
      </w:r>
    </w:p>
    <w:p w14:paraId="696DDB97" w14:textId="7F01E050" w:rsidR="00221C91" w:rsidRPr="007D092F" w:rsidRDefault="00221C91" w:rsidP="007D092F">
      <w:pPr>
        <w:pStyle w:val="ListParagraph"/>
        <w:numPr>
          <w:ilvl w:val="0"/>
          <w:numId w:val="22"/>
        </w:numPr>
        <w:rPr>
          <w:rFonts w:ascii="Century Gothic" w:hAnsi="Century Gothic" w:cs="Arial"/>
          <w:szCs w:val="20"/>
        </w:rPr>
      </w:pPr>
      <w:r w:rsidRPr="007D092F">
        <w:rPr>
          <w:rFonts w:ascii="Century Gothic" w:hAnsi="Century Gothic" w:cs="Arial"/>
          <w:szCs w:val="20"/>
        </w:rPr>
        <w:t>After his term at St Ma</w:t>
      </w:r>
      <w:r w:rsidR="007D092F">
        <w:rPr>
          <w:rFonts w:ascii="Century Gothic" w:hAnsi="Century Gothic" w:cs="Arial"/>
          <w:szCs w:val="20"/>
        </w:rPr>
        <w:t xml:space="preserve">ry’s Primary, what differences may John </w:t>
      </w:r>
      <w:proofErr w:type="gramStart"/>
      <w:r w:rsidR="007D092F">
        <w:rPr>
          <w:rFonts w:ascii="Century Gothic" w:hAnsi="Century Gothic" w:cs="Arial"/>
          <w:szCs w:val="20"/>
        </w:rPr>
        <w:t>Rogers</w:t>
      </w:r>
      <w:proofErr w:type="gramEnd"/>
      <w:r w:rsidR="007D092F">
        <w:rPr>
          <w:rFonts w:ascii="Century Gothic" w:hAnsi="Century Gothic" w:cs="Arial"/>
          <w:szCs w:val="20"/>
        </w:rPr>
        <w:t xml:space="preserve"> sense and what possible underlying influences give rise to such differences</w:t>
      </w:r>
      <w:r w:rsidRPr="007D092F">
        <w:rPr>
          <w:rFonts w:ascii="Century Gothic" w:hAnsi="Century Gothic" w:cs="Arial"/>
          <w:szCs w:val="20"/>
        </w:rPr>
        <w:t>?</w:t>
      </w:r>
    </w:p>
    <w:p w14:paraId="368E12C3" w14:textId="33C5DD6C" w:rsidR="00221C91" w:rsidRPr="007D092F" w:rsidRDefault="007D092F" w:rsidP="007D092F">
      <w:pPr>
        <w:pStyle w:val="ListParagraph"/>
        <w:numPr>
          <w:ilvl w:val="0"/>
          <w:numId w:val="22"/>
        </w:numPr>
        <w:rPr>
          <w:rFonts w:ascii="Century Gothic" w:hAnsi="Century Gothic" w:cs="Arial"/>
          <w:szCs w:val="20"/>
        </w:rPr>
      </w:pPr>
      <w:bookmarkStart w:id="0" w:name="_GoBack"/>
      <w:r w:rsidRPr="00197FD7">
        <w:rPr>
          <w:noProof/>
          <w:lang w:val="en-US"/>
        </w:rPr>
        <w:drawing>
          <wp:anchor distT="0" distB="0" distL="114300" distR="114300" simplePos="0" relativeHeight="251674624" behindDoc="0" locked="0" layoutInCell="1" allowOverlap="1" wp14:anchorId="69B8A3D7" wp14:editId="519DFB78">
            <wp:simplePos x="0" y="0"/>
            <wp:positionH relativeFrom="column">
              <wp:posOffset>5372100</wp:posOffset>
            </wp:positionH>
            <wp:positionV relativeFrom="paragraph">
              <wp:posOffset>276225</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r w:rsidR="00221C91" w:rsidRPr="007D092F">
        <w:rPr>
          <w:rFonts w:ascii="Century Gothic" w:hAnsi="Century Gothic" w:cs="Arial"/>
          <w:szCs w:val="20"/>
        </w:rPr>
        <w:t xml:space="preserve">In the SNAPSHOT exercise (page 94) </w:t>
      </w:r>
      <w:r>
        <w:rPr>
          <w:rFonts w:ascii="Century Gothic" w:hAnsi="Century Gothic" w:cs="Arial"/>
          <w:szCs w:val="20"/>
        </w:rPr>
        <w:t>(</w:t>
      </w:r>
      <w:proofErr w:type="spellStart"/>
      <w:r>
        <w:rPr>
          <w:rFonts w:ascii="Century Gothic" w:hAnsi="Century Gothic" w:cs="Arial"/>
          <w:szCs w:val="20"/>
        </w:rPr>
        <w:t>i</w:t>
      </w:r>
      <w:proofErr w:type="spellEnd"/>
      <w:r>
        <w:rPr>
          <w:rFonts w:ascii="Century Gothic" w:hAnsi="Century Gothic" w:cs="Arial"/>
          <w:szCs w:val="20"/>
        </w:rPr>
        <w:t xml:space="preserve">) </w:t>
      </w:r>
      <w:proofErr w:type="gramStart"/>
      <w:r>
        <w:rPr>
          <w:rFonts w:ascii="Century Gothic" w:hAnsi="Century Gothic" w:cs="Arial"/>
          <w:szCs w:val="20"/>
        </w:rPr>
        <w:t>Any</w:t>
      </w:r>
      <w:proofErr w:type="gramEnd"/>
      <w:r>
        <w:rPr>
          <w:rFonts w:ascii="Century Gothic" w:hAnsi="Century Gothic" w:cs="Arial"/>
          <w:szCs w:val="20"/>
        </w:rPr>
        <w:t xml:space="preserve"> important issues </w:t>
      </w:r>
      <w:r w:rsidR="00221C91" w:rsidRPr="007D092F">
        <w:rPr>
          <w:rFonts w:ascii="Century Gothic" w:hAnsi="Century Gothic" w:cs="Arial"/>
          <w:szCs w:val="20"/>
        </w:rPr>
        <w:t>missing</w:t>
      </w:r>
      <w:r>
        <w:rPr>
          <w:rFonts w:ascii="Century Gothic" w:hAnsi="Century Gothic" w:cs="Arial"/>
          <w:szCs w:val="20"/>
        </w:rPr>
        <w:t>?</w:t>
      </w:r>
      <w:r w:rsidR="00221C91" w:rsidRPr="007D092F">
        <w:rPr>
          <w:rFonts w:ascii="Century Gothic" w:hAnsi="Century Gothic" w:cs="Arial"/>
          <w:szCs w:val="20"/>
        </w:rPr>
        <w:t xml:space="preserve">  </w:t>
      </w:r>
      <w:r>
        <w:rPr>
          <w:rFonts w:ascii="Century Gothic" w:hAnsi="Century Gothic" w:cs="Arial"/>
          <w:szCs w:val="20"/>
        </w:rPr>
        <w:br/>
      </w:r>
      <w:r w:rsidR="00221C91" w:rsidRPr="007D092F">
        <w:rPr>
          <w:rFonts w:ascii="Century Gothic" w:hAnsi="Century Gothic" w:cs="Arial"/>
          <w:szCs w:val="20"/>
        </w:rPr>
        <w:t xml:space="preserve">ii) Any items </w:t>
      </w:r>
      <w:r>
        <w:rPr>
          <w:rFonts w:ascii="Century Gothic" w:hAnsi="Century Gothic" w:cs="Arial"/>
          <w:szCs w:val="20"/>
        </w:rPr>
        <w:t>you would express differently</w:t>
      </w:r>
      <w:r w:rsidR="00221C91" w:rsidRPr="007D092F">
        <w:rPr>
          <w:rFonts w:ascii="Century Gothic" w:hAnsi="Century Gothic" w:cs="Arial"/>
          <w:szCs w:val="20"/>
        </w:rPr>
        <w:t xml:space="preserve">?   </w:t>
      </w:r>
    </w:p>
    <w:p w14:paraId="037293B1" w14:textId="6563767F" w:rsidR="00221C91" w:rsidRPr="007D092F" w:rsidRDefault="007D092F" w:rsidP="007D092F">
      <w:pPr>
        <w:pStyle w:val="ListParagraph"/>
        <w:numPr>
          <w:ilvl w:val="0"/>
          <w:numId w:val="22"/>
        </w:numPr>
        <w:rPr>
          <w:rFonts w:ascii="Century Gothic" w:hAnsi="Century Gothic" w:cs="Arial"/>
          <w:szCs w:val="20"/>
        </w:rPr>
      </w:pPr>
      <w:r>
        <w:rPr>
          <w:rFonts w:ascii="Century Gothic" w:hAnsi="Century Gothic" w:cs="Arial"/>
          <w:szCs w:val="20"/>
        </w:rPr>
        <w:t xml:space="preserve">In 3’s or </w:t>
      </w:r>
      <w:proofErr w:type="gramStart"/>
      <w:r>
        <w:rPr>
          <w:rFonts w:ascii="Century Gothic" w:hAnsi="Century Gothic" w:cs="Arial"/>
          <w:szCs w:val="20"/>
        </w:rPr>
        <w:t>4’s</w:t>
      </w:r>
      <w:r w:rsidR="00221C91" w:rsidRPr="007D092F">
        <w:rPr>
          <w:rFonts w:ascii="Century Gothic" w:hAnsi="Century Gothic" w:cs="Arial"/>
          <w:szCs w:val="20"/>
        </w:rPr>
        <w:t>,</w:t>
      </w:r>
      <w:proofErr w:type="gramEnd"/>
      <w:r w:rsidR="00221C91" w:rsidRPr="007D092F">
        <w:rPr>
          <w:rFonts w:ascii="Century Gothic" w:hAnsi="Century Gothic" w:cs="Arial"/>
          <w:szCs w:val="20"/>
        </w:rPr>
        <w:t xml:space="preserve"> have a conversation about different perceptions </w:t>
      </w:r>
      <w:r>
        <w:rPr>
          <w:rFonts w:ascii="Century Gothic" w:hAnsi="Century Gothic" w:cs="Arial"/>
          <w:szCs w:val="20"/>
        </w:rPr>
        <w:t>registered in your responses.  Any issues arising</w:t>
      </w:r>
      <w:r w:rsidR="00221C91" w:rsidRPr="007D092F">
        <w:rPr>
          <w:rFonts w:ascii="Century Gothic" w:hAnsi="Century Gothic" w:cs="Arial"/>
          <w:szCs w:val="20"/>
        </w:rPr>
        <w:t xml:space="preserve">? </w:t>
      </w:r>
    </w:p>
    <w:p w14:paraId="56E22A39" w14:textId="172A9560" w:rsidR="007E31CF" w:rsidRPr="007D092F" w:rsidRDefault="00221C91" w:rsidP="007D092F">
      <w:pPr>
        <w:pStyle w:val="ListParagraph"/>
        <w:numPr>
          <w:ilvl w:val="0"/>
          <w:numId w:val="22"/>
        </w:numPr>
        <w:rPr>
          <w:rFonts w:ascii="Century Gothic" w:hAnsi="Century Gothic" w:cs="Arial"/>
          <w:szCs w:val="20"/>
        </w:rPr>
      </w:pPr>
      <w:r w:rsidRPr="007D092F">
        <w:rPr>
          <w:rFonts w:ascii="Century Gothic" w:hAnsi="Century Gothic" w:cs="Arial"/>
          <w:szCs w:val="20"/>
        </w:rPr>
        <w:t xml:space="preserve">PLENARY.  Name the affirmations and take satisfaction. </w:t>
      </w:r>
      <w:r w:rsidR="007D092F">
        <w:rPr>
          <w:rFonts w:ascii="Century Gothic" w:hAnsi="Century Gothic" w:cs="Arial"/>
          <w:szCs w:val="20"/>
        </w:rPr>
        <w:br/>
      </w:r>
      <w:r w:rsidRPr="007D092F">
        <w:rPr>
          <w:rFonts w:ascii="Century Gothic" w:hAnsi="Century Gothic" w:cs="Arial"/>
          <w:szCs w:val="20"/>
        </w:rPr>
        <w:t>Name issues requiring attention and make provision for follow-up</w:t>
      </w:r>
      <w:r w:rsidR="007D092F">
        <w:rPr>
          <w:rFonts w:ascii="Century Gothic" w:hAnsi="Century Gothic" w:cs="Arial"/>
          <w:szCs w:val="20"/>
        </w:rPr>
        <w:t>.</w:t>
      </w:r>
    </w:p>
    <w:sectPr w:rsidR="007E31CF" w:rsidRPr="007D092F"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4D3176" w:rsidRDefault="004D3176" w:rsidP="007D0509">
      <w:pPr>
        <w:spacing w:after="0" w:line="240" w:lineRule="auto"/>
      </w:pPr>
      <w:r>
        <w:separator/>
      </w:r>
    </w:p>
  </w:endnote>
  <w:endnote w:type="continuationSeparator" w:id="0">
    <w:p w14:paraId="25BEB517" w14:textId="77777777" w:rsidR="004D3176" w:rsidRDefault="004D3176"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4D3176" w:rsidRDefault="004D3176" w:rsidP="007D0509">
      <w:pPr>
        <w:spacing w:after="0" w:line="240" w:lineRule="auto"/>
      </w:pPr>
      <w:r>
        <w:separator/>
      </w:r>
    </w:p>
  </w:footnote>
  <w:footnote w:type="continuationSeparator" w:id="0">
    <w:p w14:paraId="5365C48D" w14:textId="77777777" w:rsidR="004D3176" w:rsidRDefault="004D3176"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38A"/>
    <w:multiLevelType w:val="hybridMultilevel"/>
    <w:tmpl w:val="B5E45B96"/>
    <w:lvl w:ilvl="0" w:tplc="E5E0871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B5292"/>
    <w:multiLevelType w:val="hybridMultilevel"/>
    <w:tmpl w:val="32AC735C"/>
    <w:lvl w:ilvl="0" w:tplc="6262D30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B702435"/>
    <w:multiLevelType w:val="hybridMultilevel"/>
    <w:tmpl w:val="8642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8">
    <w:nsid w:val="32AC2E13"/>
    <w:multiLevelType w:val="hybridMultilevel"/>
    <w:tmpl w:val="7BA27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CAA2272"/>
    <w:multiLevelType w:val="hybridMultilevel"/>
    <w:tmpl w:val="EFEA7D8A"/>
    <w:lvl w:ilvl="0" w:tplc="CB226BFA">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3D2DD4"/>
    <w:multiLevelType w:val="hybridMultilevel"/>
    <w:tmpl w:val="892612BC"/>
    <w:lvl w:ilvl="0" w:tplc="4044C00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9D5EC0"/>
    <w:multiLevelType w:val="hybridMultilevel"/>
    <w:tmpl w:val="5F5230EA"/>
    <w:lvl w:ilvl="0" w:tplc="1DACB19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6444B3"/>
    <w:multiLevelType w:val="hybridMultilevel"/>
    <w:tmpl w:val="B8924A82"/>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0">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1"/>
  </w:num>
  <w:num w:numId="4">
    <w:abstractNumId w:val="20"/>
  </w:num>
  <w:num w:numId="5">
    <w:abstractNumId w:val="6"/>
  </w:num>
  <w:num w:numId="6">
    <w:abstractNumId w:val="3"/>
  </w:num>
  <w:num w:numId="7">
    <w:abstractNumId w:val="19"/>
  </w:num>
  <w:num w:numId="8">
    <w:abstractNumId w:val="14"/>
  </w:num>
  <w:num w:numId="9">
    <w:abstractNumId w:val="13"/>
  </w:num>
  <w:num w:numId="10">
    <w:abstractNumId w:val="1"/>
  </w:num>
  <w:num w:numId="11">
    <w:abstractNumId w:val="4"/>
  </w:num>
  <w:num w:numId="12">
    <w:abstractNumId w:val="9"/>
  </w:num>
  <w:num w:numId="13">
    <w:abstractNumId w:val="12"/>
  </w:num>
  <w:num w:numId="14">
    <w:abstractNumId w:val="7"/>
  </w:num>
  <w:num w:numId="15">
    <w:abstractNumId w:val="17"/>
  </w:num>
  <w:num w:numId="16">
    <w:abstractNumId w:val="15"/>
  </w:num>
  <w:num w:numId="17">
    <w:abstractNumId w:val="0"/>
  </w:num>
  <w:num w:numId="18">
    <w:abstractNumId w:val="18"/>
  </w:num>
  <w:num w:numId="19">
    <w:abstractNumId w:val="2"/>
  </w:num>
  <w:num w:numId="20">
    <w:abstractNumId w:val="16"/>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C761C"/>
    <w:rsid w:val="00157DAC"/>
    <w:rsid w:val="0018306A"/>
    <w:rsid w:val="001840A3"/>
    <w:rsid w:val="00197FD7"/>
    <w:rsid w:val="001F4995"/>
    <w:rsid w:val="0021122E"/>
    <w:rsid w:val="00221C91"/>
    <w:rsid w:val="00264836"/>
    <w:rsid w:val="002E6FEA"/>
    <w:rsid w:val="003268D3"/>
    <w:rsid w:val="003809D1"/>
    <w:rsid w:val="003E327B"/>
    <w:rsid w:val="00407DF0"/>
    <w:rsid w:val="00426BDD"/>
    <w:rsid w:val="00453BF0"/>
    <w:rsid w:val="004D3176"/>
    <w:rsid w:val="004E3E32"/>
    <w:rsid w:val="004F2FBB"/>
    <w:rsid w:val="004F7499"/>
    <w:rsid w:val="00501F77"/>
    <w:rsid w:val="00506311"/>
    <w:rsid w:val="005327D6"/>
    <w:rsid w:val="0057648E"/>
    <w:rsid w:val="005F4CE7"/>
    <w:rsid w:val="006445E4"/>
    <w:rsid w:val="006515C4"/>
    <w:rsid w:val="00732015"/>
    <w:rsid w:val="00741EF5"/>
    <w:rsid w:val="00756737"/>
    <w:rsid w:val="00776CEC"/>
    <w:rsid w:val="007804C8"/>
    <w:rsid w:val="007C3F99"/>
    <w:rsid w:val="007D0509"/>
    <w:rsid w:val="007D092F"/>
    <w:rsid w:val="007E31CF"/>
    <w:rsid w:val="008202DB"/>
    <w:rsid w:val="008246AD"/>
    <w:rsid w:val="00967B6A"/>
    <w:rsid w:val="009A3D8E"/>
    <w:rsid w:val="009B38B1"/>
    <w:rsid w:val="00AB0690"/>
    <w:rsid w:val="00B36A73"/>
    <w:rsid w:val="00BB39AC"/>
    <w:rsid w:val="00C32377"/>
    <w:rsid w:val="00C9349B"/>
    <w:rsid w:val="00CB0DBA"/>
    <w:rsid w:val="00CB2441"/>
    <w:rsid w:val="00DA6A1F"/>
    <w:rsid w:val="00DD030D"/>
    <w:rsid w:val="00E779C3"/>
    <w:rsid w:val="00E94C33"/>
    <w:rsid w:val="00EF0BB1"/>
    <w:rsid w:val="00EF2B87"/>
    <w:rsid w:val="00F17623"/>
    <w:rsid w:val="00F41B44"/>
    <w:rsid w:val="00FE0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culture_different_scenario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BC0F-5DC4-E641-A0BA-0889B87B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6</cp:revision>
  <cp:lastPrinted>2015-04-12T02:05:00Z</cp:lastPrinted>
  <dcterms:created xsi:type="dcterms:W3CDTF">2015-04-18T01:35:00Z</dcterms:created>
  <dcterms:modified xsi:type="dcterms:W3CDTF">2015-04-18T22:37:00Z</dcterms:modified>
</cp:coreProperties>
</file>